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5DC5" w14:textId="22957168" w:rsidR="00A94496" w:rsidRDefault="00A94496" w:rsidP="00A9449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</w:pPr>
      <w:r w:rsidRPr="00F917F4"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  <w:t xml:space="preserve">Talleres </w:t>
      </w:r>
      <w:r w:rsidR="002B7DAD"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  <w:t>“</w:t>
      </w:r>
      <w:r w:rsidRPr="00F917F4"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  <w:t>Una mirada al interior de los Cuadernos</w:t>
      </w:r>
      <w:r w:rsidR="002B7DAD"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  <w:t>”</w:t>
      </w:r>
    </w:p>
    <w:p w14:paraId="7854D15F" w14:textId="512F656D" w:rsidR="00EC6456" w:rsidRDefault="00EC6456" w:rsidP="00EC6456">
      <w:r w:rsidRPr="00EC6456">
        <w:t xml:space="preserve">La </w:t>
      </w:r>
      <w:proofErr w:type="spellStart"/>
      <w:r w:rsidRPr="00EC6456">
        <w:t>maripoosa</w:t>
      </w:r>
      <w:proofErr w:type="spellEnd"/>
      <w:r w:rsidRPr="00EC6456">
        <w:t xml:space="preserve"> (2009)</w:t>
      </w:r>
    </w:p>
    <w:p w14:paraId="7111C122" w14:textId="77777777" w:rsidR="000E7C3F" w:rsidRPr="000E7C3F" w:rsidRDefault="000E7C3F" w:rsidP="000E7C3F">
      <w:r w:rsidRPr="000E7C3F">
        <w:t>Claudio Gallina</w:t>
      </w:r>
    </w:p>
    <w:p w14:paraId="2252D7BF" w14:textId="68D995F5" w:rsidR="000E7C3F" w:rsidRDefault="00B26193" w:rsidP="00B26193">
      <w:r w:rsidRPr="00B26193">
        <w:t>© Todos los derechos reservados</w:t>
      </w:r>
    </w:p>
    <w:p w14:paraId="7E5AD0A3" w14:textId="5FC6CB77" w:rsidR="00B26193" w:rsidRPr="00B26193" w:rsidRDefault="00B26193" w:rsidP="00B26193">
      <w:r w:rsidRPr="00B26193">
        <w:t>https://www.zurbaran.com.ar/claudio-gallina-50/</w:t>
      </w:r>
    </w:p>
    <w:p w14:paraId="0DBD12FD" w14:textId="298E2B49" w:rsidR="0098730C" w:rsidRDefault="0098730C" w:rsidP="00A9449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</w:pPr>
    </w:p>
    <w:p w14:paraId="7DC70AB5" w14:textId="4B7811FA" w:rsidR="0098730C" w:rsidRPr="0098730C" w:rsidRDefault="0098730C" w:rsidP="00015B57">
      <w:pPr>
        <w:spacing w:after="0" w:line="276" w:lineRule="auto"/>
        <w:jc w:val="both"/>
      </w:pPr>
      <w:r w:rsidRPr="0098730C">
        <w:t>Sobre un fondo gris</w:t>
      </w:r>
      <w:r w:rsidR="001A37BD">
        <w:t>,</w:t>
      </w:r>
      <w:r w:rsidRPr="0098730C">
        <w:t xml:space="preserve"> </w:t>
      </w:r>
      <w:r w:rsidR="001B7662">
        <w:t xml:space="preserve">en la parte centro izquierda </w:t>
      </w:r>
      <w:r w:rsidR="000F29B2">
        <w:t xml:space="preserve">un vector </w:t>
      </w:r>
      <w:r w:rsidR="00D67921">
        <w:t xml:space="preserve">en formato de cinta de películas dividido en tres partes, en el primer recuadro la ilustración del Cuaderno </w:t>
      </w:r>
      <w:proofErr w:type="spellStart"/>
      <w:r w:rsidR="00D67921">
        <w:t>Alfasueños</w:t>
      </w:r>
      <w:proofErr w:type="spellEnd"/>
      <w:r w:rsidR="00D67921">
        <w:t xml:space="preserve"> 1</w:t>
      </w:r>
      <w:r w:rsidR="00837EF2">
        <w:t>, en el centro</w:t>
      </w:r>
      <w:r w:rsidR="001B7662">
        <w:t xml:space="preserve"> </w:t>
      </w:r>
      <w:r w:rsidR="00837EF2">
        <w:t>la ilustración de</w:t>
      </w:r>
      <w:r w:rsidRPr="0098730C">
        <w:t xml:space="preserve"> una mariposa con trozos de cuadernos de clase, en el centro un alumno haciendo equilibrio sobre una banqueta y una alumna extendiendo con sus brazos el guardapolvo</w:t>
      </w:r>
      <w:r w:rsidR="00837EF2">
        <w:t xml:space="preserve"> y debajo de ésta la imagen del Cuaderno 2 Primaria </w:t>
      </w:r>
      <w:r w:rsidR="00A417E3">
        <w:t>7mo grado y Cuaderno 2 Secundaria 5to año. En el centro de la placa el texto Taller</w:t>
      </w:r>
      <w:r w:rsidR="001A37BD">
        <w:t>es</w:t>
      </w:r>
      <w:r w:rsidR="00A417E3">
        <w:t xml:space="preserve"> Una mirada al </w:t>
      </w:r>
      <w:r w:rsidR="001A37BD">
        <w:t>interior de los cuadernos</w:t>
      </w:r>
    </w:p>
    <w:p w14:paraId="4E1F4BE9" w14:textId="21B012EC" w:rsidR="0098730C" w:rsidRDefault="0098730C" w:rsidP="00A9449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</w:pPr>
    </w:p>
    <w:p w14:paraId="7AD2A313" w14:textId="77777777" w:rsidR="0098730C" w:rsidRPr="00F917F4" w:rsidRDefault="0098730C" w:rsidP="00A9449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="Calibri" w:cstheme="minorBidi"/>
          <w:b/>
          <w:bCs/>
          <w:color w:val="000000"/>
          <w:kern w:val="24"/>
          <w:sz w:val="22"/>
          <w:szCs w:val="22"/>
          <w:lang w:val="es-ES"/>
        </w:rPr>
      </w:pPr>
    </w:p>
    <w:p w14:paraId="68F69325" w14:textId="6B1B6E7B" w:rsidR="00FB47C4" w:rsidRPr="00590A7B" w:rsidRDefault="00FB47C4" w:rsidP="002903E3">
      <w:r w:rsidRPr="00590A7B">
        <w:rPr>
          <w:lang w:val="es-ES"/>
        </w:rPr>
        <w:t xml:space="preserve">Los Cuadernos realizados desde el Ministerio de Educación de la Provincia son un bien cultural que reflejan los principios de la Política Educativa, dirigidos a la construcción de lo común en lo diverso, desde un reconocimiento de derechos. </w:t>
      </w:r>
    </w:p>
    <w:p w14:paraId="7D21E3C0" w14:textId="77777777" w:rsidR="00FB47C4" w:rsidRPr="00590A7B" w:rsidRDefault="00FB47C4" w:rsidP="002903E3">
      <w:r w:rsidRPr="00590A7B">
        <w:rPr>
          <w:lang w:val="es-ES"/>
        </w:rPr>
        <w:t xml:space="preserve">Con ellos se busca la construcción de la Igualdad de posibilidades en el acceso y disfrute de los bienes culturales y simbólicos, su democratización y ampliación. </w:t>
      </w:r>
    </w:p>
    <w:p w14:paraId="69B03916" w14:textId="77777777" w:rsidR="00FB47C4" w:rsidRPr="00590A7B" w:rsidRDefault="00FB47C4" w:rsidP="002903E3">
      <w:r w:rsidRPr="00590A7B">
        <w:rPr>
          <w:lang w:val="es-ES"/>
        </w:rPr>
        <w:t>Desde la Dirección Provincial de Educación Especial hemos propuestos algunas Actividades Facilitadoras que “mantienen el contenido en común y tienden a crear condiciones de accesibilidad para aquellos estudiantes que así lo requieran”. Estas Actividades Facilitadoras constituyen una secuencia de actividades que, partiendo de un contenido, como objeto de conocimiento a abordar y de una propuesta de actividades definidas como “para todos/as, para el grupo como totalidad” intentan generar acciones que, como su nombre lo indica, faciliten la construcción de significados compartidos, como “otra construcción de lo común”.</w:t>
      </w:r>
    </w:p>
    <w:p w14:paraId="1674B289" w14:textId="77777777" w:rsidR="00FB47C4" w:rsidRPr="00590A7B" w:rsidRDefault="00FB47C4" w:rsidP="002903E3">
      <w:r w:rsidRPr="00590A7B">
        <w:rPr>
          <w:lang w:val="es-ES"/>
        </w:rPr>
        <w:t>Permitiendo deducir, intentando la congruencia entre los modos de enseñar y los modos de aprender, corriendo al estudiante del lugar del “no saber” y, aliviando al docente del sentir “que no puede enseñar”; habilitando y posibilitando el despliegue de estrategias, no necesariamente inéditas, ni ajenas a la expertiz de todo docente, pero sí sistematizadas desde una reflexión epistémica y epistemológica.</w:t>
      </w:r>
    </w:p>
    <w:p w14:paraId="7D063B67" w14:textId="77777777" w:rsidR="00A94496" w:rsidRDefault="00A94496" w:rsidP="00A9449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b/>
          <w:bCs/>
          <w:i/>
          <w:iCs/>
          <w:color w:val="000000"/>
          <w:kern w:val="24"/>
          <w:sz w:val="22"/>
          <w:szCs w:val="22"/>
          <w:lang w:val="es-ES"/>
        </w:rPr>
      </w:pPr>
    </w:p>
    <w:p w14:paraId="39698A1D" w14:textId="5BB9ABF2" w:rsidR="00B80266" w:rsidRPr="00590A7B" w:rsidRDefault="00B80266" w:rsidP="00A94496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b/>
          <w:bCs/>
          <w:i/>
          <w:iCs/>
          <w:color w:val="000000"/>
          <w:kern w:val="24"/>
          <w:sz w:val="22"/>
          <w:szCs w:val="22"/>
          <w:lang w:val="es-ES"/>
        </w:rPr>
        <w:t>Estos Talleres de Exposición y de Producción tienen como Objetivo</w:t>
      </w:r>
    </w:p>
    <w:p w14:paraId="64EFB254" w14:textId="77777777" w:rsidR="008F3513" w:rsidRDefault="008F3513" w:rsidP="00A944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="Calibri" w:cstheme="minorBidi"/>
          <w:color w:val="000000"/>
          <w:kern w:val="24"/>
          <w:sz w:val="22"/>
          <w:szCs w:val="22"/>
          <w:lang w:val="es-ES"/>
        </w:rPr>
      </w:pPr>
    </w:p>
    <w:p w14:paraId="1CC11779" w14:textId="4D738CDC" w:rsidR="00B80266" w:rsidRPr="00590A7B" w:rsidRDefault="00B80266" w:rsidP="008F35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/>
          <w:kern w:val="24"/>
          <w:sz w:val="22"/>
          <w:szCs w:val="22"/>
          <w:lang w:val="es-ES"/>
        </w:rPr>
        <w:t>Poner en valor colectivamente la utilización de los cuadernos como bien cultural</w:t>
      </w:r>
    </w:p>
    <w:p w14:paraId="43912D4F" w14:textId="77777777" w:rsidR="008F3513" w:rsidRDefault="008F3513" w:rsidP="00A944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="Calibri" w:cstheme="minorBidi"/>
          <w:color w:val="000000"/>
          <w:kern w:val="24"/>
          <w:sz w:val="22"/>
          <w:szCs w:val="22"/>
          <w:lang w:val="es-ES"/>
        </w:rPr>
      </w:pPr>
    </w:p>
    <w:p w14:paraId="36AE3E72" w14:textId="5A993B9F" w:rsidR="00B80266" w:rsidRPr="00590A7B" w:rsidRDefault="00B80266" w:rsidP="008F35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/>
          <w:kern w:val="24"/>
          <w:sz w:val="22"/>
          <w:szCs w:val="22"/>
          <w:lang w:val="es-ES"/>
        </w:rPr>
        <w:lastRenderedPageBreak/>
        <w:t>Comunicar la intervención de la Educación Especial en los cuadernos desde una perspectiva de ampliación de posibilidades </w:t>
      </w:r>
    </w:p>
    <w:p w14:paraId="559E6BD0" w14:textId="77777777" w:rsidR="00B80266" w:rsidRPr="00590A7B" w:rsidRDefault="00B80266" w:rsidP="008F35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/>
          <w:kern w:val="24"/>
          <w:sz w:val="22"/>
          <w:szCs w:val="22"/>
          <w:lang w:val="es-ES"/>
        </w:rPr>
        <w:br/>
        <w:t>Iniciar una construcción de producciones conjuntas entre los miembros del Equipo Pedagógico perteneciente a la Dirección Provincial de Educación Especial y las/os participantes de los encuentros.</w:t>
      </w:r>
    </w:p>
    <w:p w14:paraId="176F7262" w14:textId="77777777" w:rsidR="008F3513" w:rsidRDefault="008F3513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5DE7BE6D" w14:textId="40148D4D" w:rsidR="00B80266" w:rsidRDefault="00B80266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590A7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8/07/21</w:t>
      </w:r>
      <w:r w:rsidR="008F351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6F7D946B" w14:textId="77777777" w:rsidR="008F3513" w:rsidRPr="00590A7B" w:rsidRDefault="008F3513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E813FC7" w14:textId="77777777" w:rsidR="00B80266" w:rsidRPr="00F917F4" w:rsidRDefault="00B80266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917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Encuentro con Supervisoras pertenecientes a la Modalidad de toda la provincia</w:t>
      </w:r>
    </w:p>
    <w:p w14:paraId="7E3EB571" w14:textId="28279F1E" w:rsidR="00B80266" w:rsidRPr="00F917F4" w:rsidRDefault="00B80266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917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6 </w:t>
      </w:r>
      <w:proofErr w:type="gramStart"/>
      <w:r w:rsidR="008F3513" w:rsidRPr="00F917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Talleres</w:t>
      </w:r>
      <w:proofErr w:type="gramEnd"/>
      <w:r w:rsidRPr="00F917F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de Exposición y 6 Talleres de Producción</w:t>
      </w:r>
    </w:p>
    <w:p w14:paraId="76BC2E7C" w14:textId="77777777" w:rsidR="002903E3" w:rsidRDefault="002903E3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</w:pPr>
    </w:p>
    <w:p w14:paraId="1D69BEC3" w14:textId="77777777" w:rsidR="002903E3" w:rsidRDefault="002903E3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</w:pPr>
    </w:p>
    <w:p w14:paraId="1EEE675E" w14:textId="2C503E10" w:rsidR="002B1770" w:rsidRPr="00F917F4" w:rsidRDefault="002B1770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</w:pPr>
      <w:r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 xml:space="preserve">Durante el mes de agosto y </w:t>
      </w:r>
      <w:r w:rsidR="002A742E"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>primera semana</w:t>
      </w:r>
      <w:r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 xml:space="preserve"> de </w:t>
      </w:r>
      <w:r w:rsidR="002A742E"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>setiembre se</w:t>
      </w:r>
      <w:r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 xml:space="preserve"> realizaron los talleres de exposición y talleres de </w:t>
      </w:r>
      <w:r w:rsidR="002A742E" w:rsidRPr="00F917F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>producción:</w:t>
      </w:r>
    </w:p>
    <w:p w14:paraId="7649C12E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</w:pPr>
    </w:p>
    <w:p w14:paraId="7288E8E8" w14:textId="0B031D8D" w:rsidR="008004EF" w:rsidRPr="00590A7B" w:rsidRDefault="008004EF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IV y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Región.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IV :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24 escuelas </w:t>
      </w:r>
    </w:p>
    <w:p w14:paraId="546D024E" w14:textId="0E6E889A" w:rsidR="008004EF" w:rsidRPr="00590A7B" w:rsidRDefault="008004EF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II - Región. I y SPEP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norte: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26 escuelas </w:t>
      </w:r>
    </w:p>
    <w:p w14:paraId="0BA742FC" w14:textId="3152CB2E" w:rsidR="008004EF" w:rsidRPr="00590A7B" w:rsidRDefault="008004EF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VIII -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SPEP sur: 24 escuelas</w:t>
      </w:r>
    </w:p>
    <w:p w14:paraId="5265EE8B" w14:textId="7C4B4344" w:rsidR="008004EF" w:rsidRPr="00590A7B" w:rsidRDefault="008004EF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VII -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Región III: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24 escuelas</w:t>
      </w:r>
    </w:p>
    <w:p w14:paraId="438A13E8" w14:textId="103667E6" w:rsidR="00C2578B" w:rsidRPr="00590A7B" w:rsidRDefault="00C2578B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VI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- Región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.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IV: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24 escuelas </w:t>
      </w:r>
    </w:p>
    <w:p w14:paraId="74F3CDB3" w14:textId="4CAF43D1" w:rsidR="00C2578B" w:rsidRPr="00590A7B" w:rsidRDefault="00C2578B" w:rsidP="003505EE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Región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VI -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Región </w:t>
      </w:r>
      <w:r w:rsidR="002A742E"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V -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 Región V: 24 escuelas</w:t>
      </w:r>
    </w:p>
    <w:p w14:paraId="22BE0771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</w:pPr>
    </w:p>
    <w:p w14:paraId="297FC0FD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</w:pPr>
    </w:p>
    <w:p w14:paraId="6159A4EB" w14:textId="6F3042CE" w:rsidR="00C2578B" w:rsidRPr="00590A7B" w:rsidRDefault="00C2578B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s-ES"/>
        </w:rPr>
        <w:t>Participantes</w:t>
      </w: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 xml:space="preserve">: </w:t>
      </w:r>
    </w:p>
    <w:p w14:paraId="4718AA28" w14:textId="77777777" w:rsidR="00C2578B" w:rsidRPr="00590A7B" w:rsidRDefault="00C2578B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s-ES"/>
        </w:rPr>
        <w:t>Participando 1 docente y 1 directivo por escuela de la modalidad junto a la supervisora de la región</w:t>
      </w:r>
    </w:p>
    <w:p w14:paraId="0FA0EE75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1AB5A833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67F56C52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16CEC828" w14:textId="77777777" w:rsidR="002A742E" w:rsidRDefault="002A742E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14:paraId="3BDE94B7" w14:textId="4D4979B4" w:rsidR="00C2578B" w:rsidRPr="00590A7B" w:rsidRDefault="00C2578B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Video Presentación Propuesta Talleres de Exposición</w:t>
      </w:r>
    </w:p>
    <w:p w14:paraId="059A217D" w14:textId="3BE24BE4" w:rsidR="00595D85" w:rsidRDefault="0079066F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hyperlink r:id="rId5" w:history="1">
        <w:r w:rsidRPr="00ED5EE4">
          <w:rPr>
            <w:rStyle w:val="Hipervnculo"/>
            <w:sz w:val="22"/>
            <w:szCs w:val="22"/>
          </w:rPr>
          <w:t>https://www.youtube.com/watch?v=ZLz2s6oPR7I</w:t>
        </w:r>
      </w:hyperlink>
    </w:p>
    <w:p w14:paraId="362C2180" w14:textId="77777777" w:rsidR="0079066F" w:rsidRPr="00590A7B" w:rsidRDefault="0079066F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258A5DC" w14:textId="6B073045" w:rsidR="00F31012" w:rsidRPr="00590A7B" w:rsidRDefault="00F31012" w:rsidP="00A94496">
      <w:pPr>
        <w:jc w:val="both"/>
      </w:pPr>
    </w:p>
    <w:p w14:paraId="14275B1B" w14:textId="3F3218D2" w:rsidR="00590A7B" w:rsidRPr="00590A7B" w:rsidRDefault="00590A7B" w:rsidP="00A9449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0A7B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Video accesible </w:t>
      </w:r>
      <w:r w:rsidR="002A742E" w:rsidRPr="00590A7B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Taller 9</w:t>
      </w:r>
      <w:r w:rsidRPr="00590A7B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</w:rPr>
        <w:t>/08/21</w:t>
      </w:r>
    </w:p>
    <w:p w14:paraId="6CF3104B" w14:textId="2B2D191D" w:rsidR="00595D85" w:rsidRDefault="006A6C02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hyperlink r:id="rId6" w:history="1">
        <w:r w:rsidRPr="00ED5EE4">
          <w:rPr>
            <w:rStyle w:val="Hipervnculo"/>
            <w:rFonts w:asciiTheme="minorHAnsi" w:eastAsiaTheme="minorEastAsia" w:hAnsi="Calibri" w:cstheme="minorBidi"/>
            <w:kern w:val="24"/>
            <w:sz w:val="22"/>
            <w:szCs w:val="22"/>
          </w:rPr>
          <w:t>https://www.youtube.com/watch?v=eWM3O1Jc5l0</w:t>
        </w:r>
      </w:hyperlink>
    </w:p>
    <w:p w14:paraId="4B7BA066" w14:textId="77777777" w:rsidR="006A6C02" w:rsidRDefault="006A6C02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846C5DA" w14:textId="4E212252" w:rsidR="00F917F4" w:rsidRDefault="00F917F4" w:rsidP="00A9449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682E93CE" w14:textId="0936236D" w:rsidR="00F917F4" w:rsidRPr="00595D85" w:rsidRDefault="00F917F4" w:rsidP="00A9449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95D8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Video accesible</w:t>
      </w:r>
      <w:r w:rsidR="00595D85" w:rsidRPr="00595D8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95D8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síntesis del trabajo expuesto</w:t>
      </w:r>
      <w:r w:rsidR="00595D85" w:rsidRPr="00595D8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anteriormente </w:t>
      </w:r>
    </w:p>
    <w:p w14:paraId="362E2071" w14:textId="1D1BFCB2" w:rsidR="00590A7B" w:rsidRDefault="0079066F" w:rsidP="00A94496">
      <w:pPr>
        <w:jc w:val="both"/>
      </w:pPr>
      <w:hyperlink r:id="rId7" w:history="1">
        <w:r w:rsidRPr="00ED5EE4">
          <w:rPr>
            <w:rStyle w:val="Hipervnculo"/>
          </w:rPr>
          <w:t>https://www.youtube.com/watch?v=wWAhMTu5VpM</w:t>
        </w:r>
      </w:hyperlink>
    </w:p>
    <w:p w14:paraId="6E54E553" w14:textId="2AB194EC" w:rsidR="0079066F" w:rsidRPr="00E000CA" w:rsidRDefault="00E000CA" w:rsidP="00E000CA">
      <w:r w:rsidRPr="00E000CA">
        <w:t>*Principio de Accesibilidad para personas con discapacidad visual. ONU Objetivos del Desarrollo Sostenible. (2015</w:t>
      </w:r>
    </w:p>
    <w:sectPr w:rsidR="0079066F" w:rsidRPr="00E00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DB3"/>
    <w:multiLevelType w:val="hybridMultilevel"/>
    <w:tmpl w:val="2C24B5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4"/>
    <w:rsid w:val="00015B57"/>
    <w:rsid w:val="000E7C3F"/>
    <w:rsid w:val="000F29B2"/>
    <w:rsid w:val="001A37BD"/>
    <w:rsid w:val="001B7662"/>
    <w:rsid w:val="002903E3"/>
    <w:rsid w:val="002A742E"/>
    <w:rsid w:val="002B1770"/>
    <w:rsid w:val="002B7DAD"/>
    <w:rsid w:val="003505EE"/>
    <w:rsid w:val="00590A7B"/>
    <w:rsid w:val="00595D85"/>
    <w:rsid w:val="006A6C02"/>
    <w:rsid w:val="0079066F"/>
    <w:rsid w:val="008004EF"/>
    <w:rsid w:val="00837EF2"/>
    <w:rsid w:val="008F3513"/>
    <w:rsid w:val="0098730C"/>
    <w:rsid w:val="00A417E3"/>
    <w:rsid w:val="00A94496"/>
    <w:rsid w:val="00B26193"/>
    <w:rsid w:val="00B80266"/>
    <w:rsid w:val="00C2578B"/>
    <w:rsid w:val="00D67921"/>
    <w:rsid w:val="00E000CA"/>
    <w:rsid w:val="00EC6456"/>
    <w:rsid w:val="00EE4F5A"/>
    <w:rsid w:val="00F31012"/>
    <w:rsid w:val="00F917F4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3B428"/>
  <w15:chartTrackingRefBased/>
  <w15:docId w15:val="{4EB61281-CFCC-4928-BE53-4EF12C4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0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0A7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66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903E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90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AhMTu5V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M3O1Jc5l0" TargetMode="External"/><Relationship Id="rId5" Type="http://schemas.openxmlformats.org/officeDocument/2006/relationships/hyperlink" Target="https://www.youtube.com/watch?v=ZLz2s6oPR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silvia rossi</cp:lastModifiedBy>
  <cp:revision>1</cp:revision>
  <dcterms:created xsi:type="dcterms:W3CDTF">2021-09-03T17:44:00Z</dcterms:created>
  <dcterms:modified xsi:type="dcterms:W3CDTF">2021-09-03T18:50:00Z</dcterms:modified>
</cp:coreProperties>
</file>