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6A" w:rsidRPr="0033164A" w:rsidRDefault="00131F17" w:rsidP="0033164A">
      <w:pPr>
        <w:jc w:val="center"/>
        <w:rPr>
          <w:rFonts w:cstheme="minorHAnsi"/>
          <w:sz w:val="24"/>
          <w:szCs w:val="24"/>
          <w:u w:val="single"/>
        </w:rPr>
      </w:pPr>
      <w:r>
        <w:rPr>
          <w:rFonts w:cstheme="minorHAnsi"/>
          <w:sz w:val="24"/>
          <w:szCs w:val="24"/>
          <w:u w:val="single"/>
        </w:rPr>
        <w:t>EL</w:t>
      </w:r>
      <w:r w:rsidR="007A6FE8" w:rsidRPr="0033164A">
        <w:rPr>
          <w:rFonts w:cstheme="minorHAnsi"/>
          <w:sz w:val="24"/>
          <w:szCs w:val="24"/>
          <w:u w:val="single"/>
        </w:rPr>
        <w:t xml:space="preserve"> </w:t>
      </w:r>
      <w:r w:rsidR="007A6FE8" w:rsidRPr="0033164A">
        <w:rPr>
          <w:rFonts w:cstheme="minorHAnsi"/>
          <w:b/>
          <w:sz w:val="24"/>
          <w:szCs w:val="24"/>
          <w:u w:val="single"/>
        </w:rPr>
        <w:t>INFORME RATTENBACH</w:t>
      </w:r>
      <w:r w:rsidR="007A6FE8" w:rsidRPr="0033164A">
        <w:rPr>
          <w:rFonts w:cstheme="minorHAnsi"/>
          <w:sz w:val="24"/>
          <w:szCs w:val="24"/>
          <w:u w:val="single"/>
        </w:rPr>
        <w:t xml:space="preserve">  (</w:t>
      </w:r>
      <w:r w:rsidR="00302F36" w:rsidRPr="0033164A">
        <w:rPr>
          <w:rFonts w:cstheme="minorHAnsi"/>
          <w:sz w:val="24"/>
          <w:szCs w:val="24"/>
          <w:u w:val="single"/>
        </w:rPr>
        <w:t>Breve reseña</w:t>
      </w:r>
      <w:r w:rsidR="007A6FE8" w:rsidRPr="0033164A">
        <w:rPr>
          <w:rFonts w:cstheme="minorHAnsi"/>
          <w:sz w:val="24"/>
          <w:szCs w:val="24"/>
          <w:u w:val="single"/>
        </w:rPr>
        <w:t>)</w:t>
      </w:r>
    </w:p>
    <w:p w:rsidR="00302F36" w:rsidRPr="0033164A" w:rsidRDefault="00211709" w:rsidP="0033164A">
      <w:pPr>
        <w:shd w:val="clear" w:color="auto" w:fill="FFFFFF"/>
        <w:spacing w:before="120" w:after="120" w:line="240" w:lineRule="auto"/>
        <w:ind w:firstLine="851"/>
        <w:jc w:val="both"/>
        <w:rPr>
          <w:rFonts w:eastAsia="Times New Roman" w:cstheme="minorHAnsi"/>
          <w:color w:val="222222"/>
          <w:sz w:val="24"/>
          <w:szCs w:val="24"/>
          <w:lang w:eastAsia="es-ES"/>
        </w:rPr>
      </w:pPr>
      <w:r w:rsidRPr="0033164A">
        <w:rPr>
          <w:rFonts w:cstheme="minorHAnsi"/>
          <w:sz w:val="24"/>
          <w:szCs w:val="24"/>
        </w:rPr>
        <w:t>El 2 de Diciembre de 1982, a casi tres meses de concluida la guerra de Malvinas, la Dictadura Militar designó a un grupo de militares para poner en funcionamiento la</w:t>
      </w:r>
      <w:r w:rsidRPr="0033164A">
        <w:rPr>
          <w:rFonts w:eastAsia="Times New Roman" w:cstheme="minorHAnsi"/>
          <w:b/>
          <w:bCs/>
          <w:i/>
          <w:iCs/>
          <w:color w:val="222222"/>
          <w:sz w:val="24"/>
          <w:szCs w:val="24"/>
          <w:lang w:eastAsia="es-ES"/>
        </w:rPr>
        <w:t xml:space="preserve"> </w:t>
      </w:r>
      <w:r w:rsidRPr="00834B41">
        <w:rPr>
          <w:rFonts w:eastAsia="Times New Roman" w:cstheme="minorHAnsi"/>
          <w:b/>
          <w:bCs/>
          <w:i/>
          <w:iCs/>
          <w:color w:val="222222"/>
          <w:sz w:val="24"/>
          <w:szCs w:val="24"/>
          <w:lang w:eastAsia="es-ES"/>
        </w:rPr>
        <w:t>Comisión de análisis y evaluación de las responsabilidades políticas y estratégico militares en el conflicto del Atlántico Sur</w:t>
      </w:r>
      <w:r w:rsidRPr="0033164A">
        <w:rPr>
          <w:rFonts w:eastAsia="Times New Roman" w:cstheme="minorHAnsi"/>
          <w:color w:val="222222"/>
          <w:sz w:val="24"/>
          <w:szCs w:val="24"/>
          <w:lang w:eastAsia="es-ES"/>
        </w:rPr>
        <w:t xml:space="preserve"> (CAERCAS). El resultado del trabajo de esta comisión es lo que se conoce como Informe Rattenbach, en alusión al apellido del Teniente General que la presidió. Sin lugar a dudas este pedido de investigación fue </w:t>
      </w:r>
      <w:r w:rsidR="0046243F" w:rsidRPr="0033164A">
        <w:rPr>
          <w:rFonts w:cstheme="minorHAnsi"/>
          <w:sz w:val="24"/>
          <w:szCs w:val="24"/>
        </w:rPr>
        <w:t xml:space="preserve"> un intento</w:t>
      </w:r>
      <w:r w:rsidRPr="0033164A">
        <w:rPr>
          <w:rFonts w:cstheme="minorHAnsi"/>
          <w:sz w:val="24"/>
          <w:szCs w:val="24"/>
        </w:rPr>
        <w:t xml:space="preserve">  del gobierno dictatorial, para </w:t>
      </w:r>
      <w:r w:rsidR="0046243F" w:rsidRPr="0033164A">
        <w:rPr>
          <w:rFonts w:cstheme="minorHAnsi"/>
          <w:sz w:val="24"/>
          <w:szCs w:val="24"/>
        </w:rPr>
        <w:t xml:space="preserve"> recuperar cierta iniciativa política, ante el descrédito popular</w:t>
      </w:r>
      <w:r w:rsidR="00302F36" w:rsidRPr="0033164A">
        <w:rPr>
          <w:rFonts w:cstheme="minorHAnsi"/>
          <w:sz w:val="24"/>
          <w:szCs w:val="24"/>
        </w:rPr>
        <w:t xml:space="preserve">. </w:t>
      </w:r>
      <w:r w:rsidR="00555076" w:rsidRPr="0033164A">
        <w:rPr>
          <w:rFonts w:cstheme="minorHAnsi"/>
          <w:sz w:val="24"/>
          <w:szCs w:val="24"/>
        </w:rPr>
        <w:t>La comisión realizó una investigación minuciosa</w:t>
      </w:r>
      <w:r w:rsidR="001717F1" w:rsidRPr="0033164A">
        <w:rPr>
          <w:rFonts w:cstheme="minorHAnsi"/>
          <w:sz w:val="24"/>
          <w:szCs w:val="24"/>
        </w:rPr>
        <w:t xml:space="preserve"> y escribió unas conclusiones lapidarias, utilizando la expresión “aventura militar” para referirse a la guerra de Malvinas. El informe Rattembach es un documento estatal que no fue publicado de manera oficial y era considerado un secreto de Estado hasta febrero de 2012 año en el que se publicó oficialmente. </w:t>
      </w:r>
    </w:p>
    <w:p w:rsidR="00341517" w:rsidRPr="0033164A" w:rsidRDefault="00341517" w:rsidP="0033164A">
      <w:pPr>
        <w:shd w:val="clear" w:color="auto" w:fill="FFFFFF"/>
        <w:spacing w:before="120" w:after="120" w:line="240" w:lineRule="auto"/>
        <w:ind w:firstLine="851"/>
        <w:jc w:val="both"/>
        <w:rPr>
          <w:rFonts w:eastAsia="Times New Roman" w:cstheme="minorHAnsi"/>
          <w:color w:val="222222"/>
          <w:sz w:val="24"/>
          <w:szCs w:val="24"/>
          <w:lang w:eastAsia="es-ES"/>
        </w:rPr>
      </w:pPr>
      <w:r w:rsidRPr="0033164A">
        <w:rPr>
          <w:rFonts w:eastAsia="Times New Roman" w:cstheme="minorHAnsi"/>
          <w:color w:val="222222"/>
          <w:sz w:val="24"/>
          <w:szCs w:val="24"/>
          <w:lang w:eastAsia="es-ES"/>
        </w:rPr>
        <w:t>El fin de la investigación fue determinar el desempeño en el ejercicio de las funciones y las responsabilidades emergentes respecto de la conducción política y estratégico-militar  del conflicto; las responsabilidades de cualquier persona, sea de carácter penal, disciplinario y/o del honor que surjan de lo actuado y que, a su juicio, deban ser investigadas y juzgadas por la jurisdicción común o militar respectiva, en la forma que legal y reglamentaria corresponda.</w:t>
      </w:r>
    </w:p>
    <w:p w:rsidR="00834B41" w:rsidRPr="00834B41" w:rsidRDefault="00834B41" w:rsidP="0033164A">
      <w:pPr>
        <w:ind w:firstLine="851"/>
        <w:jc w:val="both"/>
        <w:rPr>
          <w:rFonts w:cstheme="minorHAnsi"/>
          <w:sz w:val="24"/>
          <w:szCs w:val="24"/>
        </w:rPr>
      </w:pPr>
      <w:r w:rsidRPr="00834B41">
        <w:rPr>
          <w:rFonts w:eastAsia="Times New Roman" w:cstheme="minorHAnsi"/>
          <w:color w:val="222222"/>
          <w:sz w:val="24"/>
          <w:szCs w:val="24"/>
          <w:lang w:eastAsia="es-ES"/>
        </w:rPr>
        <w:t>La comisión entregó el resultado de su trabajo en un informe escrito de cinco partes:</w:t>
      </w:r>
    </w:p>
    <w:p w:rsidR="00834B41" w:rsidRPr="0033164A" w:rsidRDefault="0033164A" w:rsidP="0033164A">
      <w:pPr>
        <w:shd w:val="clear" w:color="auto" w:fill="FFFFFF"/>
        <w:spacing w:before="100" w:beforeAutospacing="1" w:after="24" w:line="240" w:lineRule="auto"/>
        <w:ind w:left="360"/>
        <w:jc w:val="both"/>
        <w:rPr>
          <w:rFonts w:eastAsia="Times New Roman" w:cstheme="minorHAnsi"/>
          <w:color w:val="222222"/>
          <w:sz w:val="24"/>
          <w:szCs w:val="24"/>
          <w:lang w:eastAsia="es-ES"/>
        </w:rPr>
      </w:pPr>
      <w:r w:rsidRPr="0033164A">
        <w:rPr>
          <w:rFonts w:eastAsia="Times New Roman" w:cstheme="minorHAnsi"/>
          <w:color w:val="222222"/>
          <w:sz w:val="24"/>
          <w:szCs w:val="24"/>
          <w:lang w:eastAsia="es-ES"/>
        </w:rPr>
        <w:t>INTRODUCCIÓN</w:t>
      </w:r>
    </w:p>
    <w:p w:rsidR="00834B41" w:rsidRPr="0033164A" w:rsidRDefault="00834B41" w:rsidP="0033164A">
      <w:pPr>
        <w:shd w:val="clear" w:color="auto" w:fill="FFFFFF"/>
        <w:spacing w:after="24" w:line="240" w:lineRule="auto"/>
        <w:ind w:left="1080"/>
        <w:jc w:val="both"/>
        <w:rPr>
          <w:rFonts w:eastAsia="Times New Roman" w:cstheme="minorHAnsi"/>
          <w:color w:val="222222"/>
          <w:sz w:val="24"/>
          <w:szCs w:val="24"/>
          <w:lang w:eastAsia="es-ES"/>
        </w:rPr>
      </w:pPr>
      <w:r w:rsidRPr="0033164A">
        <w:rPr>
          <w:rFonts w:eastAsia="Times New Roman" w:cstheme="minorHAnsi"/>
          <w:color w:val="222222"/>
          <w:sz w:val="24"/>
          <w:szCs w:val="24"/>
          <w:lang w:eastAsia="es-ES"/>
        </w:rPr>
        <w:t>En la introducción se describen los fundamentos legales y las razones de la investigación, sus fuentes, su nomenclatura y la estructura del informe.</w:t>
      </w:r>
    </w:p>
    <w:p w:rsidR="00834B41" w:rsidRPr="0033164A" w:rsidRDefault="0033164A" w:rsidP="0033164A">
      <w:pPr>
        <w:shd w:val="clear" w:color="auto" w:fill="FFFFFF"/>
        <w:spacing w:before="100" w:beforeAutospacing="1" w:after="24" w:line="240" w:lineRule="auto"/>
        <w:ind w:left="360"/>
        <w:jc w:val="both"/>
        <w:rPr>
          <w:rFonts w:eastAsia="Times New Roman" w:cstheme="minorHAnsi"/>
          <w:color w:val="222222"/>
          <w:sz w:val="24"/>
          <w:szCs w:val="24"/>
          <w:lang w:eastAsia="es-ES"/>
        </w:rPr>
      </w:pPr>
      <w:r w:rsidRPr="0033164A">
        <w:rPr>
          <w:rFonts w:eastAsia="Times New Roman" w:cstheme="minorHAnsi"/>
          <w:color w:val="222222"/>
          <w:sz w:val="24"/>
          <w:szCs w:val="24"/>
          <w:lang w:eastAsia="es-ES"/>
        </w:rPr>
        <w:t>ANTECEDENTES DEL CONFLICTO</w:t>
      </w:r>
    </w:p>
    <w:p w:rsidR="00834B41" w:rsidRPr="0033164A" w:rsidRDefault="00834B41" w:rsidP="0033164A">
      <w:pPr>
        <w:shd w:val="clear" w:color="auto" w:fill="FFFFFF"/>
        <w:spacing w:after="24" w:line="240" w:lineRule="auto"/>
        <w:ind w:left="1080"/>
        <w:jc w:val="both"/>
        <w:rPr>
          <w:rFonts w:eastAsia="Times New Roman" w:cstheme="minorHAnsi"/>
          <w:color w:val="222222"/>
          <w:sz w:val="24"/>
          <w:szCs w:val="24"/>
          <w:lang w:eastAsia="es-ES"/>
        </w:rPr>
      </w:pPr>
      <w:r w:rsidRPr="0033164A">
        <w:rPr>
          <w:rFonts w:eastAsia="Times New Roman" w:cstheme="minorHAnsi"/>
          <w:color w:val="222222"/>
          <w:sz w:val="24"/>
          <w:szCs w:val="24"/>
          <w:lang w:eastAsia="es-ES"/>
        </w:rPr>
        <w:t>Se analizan detalladamente los planes realizados por el gobierno para solucionar el conflicto así como el contexto internacional y regional en que tuvo lugar el enfrentamiento.</w:t>
      </w:r>
    </w:p>
    <w:p w:rsidR="00834B41" w:rsidRPr="0033164A" w:rsidRDefault="0033164A" w:rsidP="0033164A">
      <w:pPr>
        <w:shd w:val="clear" w:color="auto" w:fill="FFFFFF"/>
        <w:spacing w:before="100" w:beforeAutospacing="1" w:after="24" w:line="240" w:lineRule="auto"/>
        <w:ind w:left="360"/>
        <w:jc w:val="both"/>
        <w:rPr>
          <w:rFonts w:eastAsia="Times New Roman" w:cstheme="minorHAnsi"/>
          <w:color w:val="222222"/>
          <w:sz w:val="24"/>
          <w:szCs w:val="24"/>
          <w:lang w:eastAsia="es-ES"/>
        </w:rPr>
      </w:pPr>
      <w:r w:rsidRPr="0033164A">
        <w:rPr>
          <w:rFonts w:eastAsia="Times New Roman" w:cstheme="minorHAnsi"/>
          <w:color w:val="222222"/>
          <w:sz w:val="24"/>
          <w:szCs w:val="24"/>
          <w:lang w:eastAsia="es-ES"/>
        </w:rPr>
        <w:t>EVALUACIÓN Y ANÁLISIS CRÍTICO</w:t>
      </w:r>
    </w:p>
    <w:p w:rsidR="00834B41" w:rsidRPr="0033164A" w:rsidRDefault="00834B41" w:rsidP="0033164A">
      <w:pPr>
        <w:shd w:val="clear" w:color="auto" w:fill="FFFFFF"/>
        <w:spacing w:after="24" w:line="240" w:lineRule="auto"/>
        <w:ind w:left="1080"/>
        <w:jc w:val="both"/>
        <w:rPr>
          <w:rFonts w:eastAsia="Times New Roman" w:cstheme="minorHAnsi"/>
          <w:color w:val="222222"/>
          <w:sz w:val="24"/>
          <w:szCs w:val="24"/>
          <w:lang w:eastAsia="es-ES"/>
        </w:rPr>
      </w:pPr>
      <w:r w:rsidRPr="0033164A">
        <w:rPr>
          <w:rFonts w:eastAsia="Times New Roman" w:cstheme="minorHAnsi"/>
          <w:color w:val="222222"/>
          <w:sz w:val="24"/>
          <w:szCs w:val="24"/>
          <w:lang w:eastAsia="es-ES"/>
        </w:rPr>
        <w:t>Se investiga el accionar de las fuerzas armadas argentinas durante la guerra mediante informes solicitados a los oficiales que cargaban responsabilidad en los hechos. Es un análisis crítico y hecho en un lenguaje objetivo que a veces puede parecer hiriente. Las fallas son nombradas y analizadas.</w:t>
      </w:r>
    </w:p>
    <w:p w:rsidR="00834B41" w:rsidRPr="00834B41" w:rsidRDefault="0033164A" w:rsidP="0033164A">
      <w:pPr>
        <w:shd w:val="clear" w:color="auto" w:fill="FFFFFF"/>
        <w:spacing w:before="100" w:beforeAutospacing="1" w:after="24" w:line="240" w:lineRule="auto"/>
        <w:ind w:left="360"/>
        <w:jc w:val="both"/>
        <w:rPr>
          <w:rFonts w:eastAsia="Times New Roman" w:cstheme="minorHAnsi"/>
          <w:color w:val="222222"/>
          <w:sz w:val="24"/>
          <w:szCs w:val="24"/>
          <w:lang w:eastAsia="es-ES"/>
        </w:rPr>
      </w:pPr>
      <w:r w:rsidRPr="0033164A">
        <w:rPr>
          <w:rFonts w:eastAsia="Times New Roman" w:cstheme="minorHAnsi"/>
          <w:color w:val="222222"/>
          <w:sz w:val="24"/>
          <w:szCs w:val="24"/>
          <w:lang w:eastAsia="es-ES"/>
        </w:rPr>
        <w:t>DETERMINACIÓN DE LAS RESPONSABILIDADES</w:t>
      </w:r>
    </w:p>
    <w:p w:rsidR="00834B41" w:rsidRPr="0033164A" w:rsidRDefault="00834B41" w:rsidP="0033164A">
      <w:pPr>
        <w:shd w:val="clear" w:color="auto" w:fill="FFFFFF"/>
        <w:spacing w:after="24" w:line="240" w:lineRule="auto"/>
        <w:ind w:left="1080"/>
        <w:jc w:val="both"/>
        <w:rPr>
          <w:rFonts w:eastAsia="Times New Roman" w:cstheme="minorHAnsi"/>
          <w:color w:val="222222"/>
          <w:sz w:val="24"/>
          <w:szCs w:val="24"/>
          <w:lang w:eastAsia="es-ES"/>
        </w:rPr>
      </w:pPr>
      <w:r w:rsidRPr="0033164A">
        <w:rPr>
          <w:rFonts w:eastAsia="Times New Roman" w:cstheme="minorHAnsi"/>
          <w:color w:val="222222"/>
          <w:sz w:val="24"/>
          <w:szCs w:val="24"/>
          <w:lang w:eastAsia="es-ES"/>
        </w:rPr>
        <w:t>Se listan las responsabilidades de los estamentos militares y civiles durante la guerra, entre otros de: la Junta Militar, Poder Ejecutivo y Gabinete, cada uno de los Comandantes de las Fuerzas Armadas, Estado Mayor Conjunto, etc. Asimismo encuadra las responsabilidades en el marco jurídico argentino.</w:t>
      </w:r>
    </w:p>
    <w:p w:rsidR="00834B41" w:rsidRPr="00834B41" w:rsidRDefault="0033164A" w:rsidP="0033164A">
      <w:pPr>
        <w:shd w:val="clear" w:color="auto" w:fill="FFFFFF"/>
        <w:spacing w:before="100" w:beforeAutospacing="1" w:after="24" w:line="240" w:lineRule="auto"/>
        <w:ind w:left="360"/>
        <w:jc w:val="both"/>
        <w:rPr>
          <w:rFonts w:eastAsia="Times New Roman" w:cstheme="minorHAnsi"/>
          <w:color w:val="222222"/>
          <w:sz w:val="24"/>
          <w:szCs w:val="24"/>
          <w:lang w:eastAsia="es-ES"/>
        </w:rPr>
      </w:pPr>
      <w:r w:rsidRPr="0033164A">
        <w:rPr>
          <w:rFonts w:eastAsia="Times New Roman" w:cstheme="minorHAnsi"/>
          <w:color w:val="222222"/>
          <w:sz w:val="24"/>
          <w:szCs w:val="24"/>
          <w:lang w:eastAsia="es-ES"/>
        </w:rPr>
        <w:t>EXPERIENCIAS Y ENSEÑANZAS</w:t>
      </w:r>
    </w:p>
    <w:p w:rsidR="00834B41" w:rsidRPr="0033164A" w:rsidRDefault="00834B41" w:rsidP="0033164A">
      <w:pPr>
        <w:shd w:val="clear" w:color="auto" w:fill="FFFFFF"/>
        <w:spacing w:after="24" w:line="240" w:lineRule="auto"/>
        <w:ind w:left="1080"/>
        <w:jc w:val="both"/>
        <w:rPr>
          <w:rFonts w:eastAsia="Times New Roman" w:cstheme="minorHAnsi"/>
          <w:color w:val="222222"/>
          <w:sz w:val="24"/>
          <w:szCs w:val="24"/>
          <w:lang w:eastAsia="es-ES"/>
        </w:rPr>
      </w:pPr>
      <w:r w:rsidRPr="0033164A">
        <w:rPr>
          <w:rFonts w:eastAsia="Times New Roman" w:cstheme="minorHAnsi"/>
          <w:color w:val="222222"/>
          <w:sz w:val="24"/>
          <w:szCs w:val="24"/>
          <w:lang w:eastAsia="es-ES"/>
        </w:rPr>
        <w:t>Nombra concretamente las recomendaciones en:</w:t>
      </w:r>
    </w:p>
    <w:p w:rsidR="00834B41" w:rsidRPr="00834B41" w:rsidRDefault="00834B41" w:rsidP="0033164A">
      <w:pPr>
        <w:numPr>
          <w:ilvl w:val="0"/>
          <w:numId w:val="7"/>
        </w:numPr>
        <w:shd w:val="clear" w:color="auto" w:fill="FFFFFF"/>
        <w:spacing w:before="100" w:beforeAutospacing="1" w:after="24" w:line="240" w:lineRule="auto"/>
        <w:ind w:left="1872"/>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Organización de la Nación para la Guerra</w:t>
      </w:r>
    </w:p>
    <w:p w:rsidR="00834B41" w:rsidRPr="00834B41" w:rsidRDefault="00834B41" w:rsidP="0033164A">
      <w:pPr>
        <w:numPr>
          <w:ilvl w:val="0"/>
          <w:numId w:val="7"/>
        </w:numPr>
        <w:shd w:val="clear" w:color="auto" w:fill="FFFFFF"/>
        <w:spacing w:before="100" w:beforeAutospacing="1" w:after="24" w:line="240" w:lineRule="auto"/>
        <w:ind w:left="1872"/>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Política Militar</w:t>
      </w:r>
    </w:p>
    <w:p w:rsidR="00834B41" w:rsidRPr="00834B41" w:rsidRDefault="00834B41" w:rsidP="0033164A">
      <w:pPr>
        <w:numPr>
          <w:ilvl w:val="0"/>
          <w:numId w:val="7"/>
        </w:numPr>
        <w:shd w:val="clear" w:color="auto" w:fill="FFFFFF"/>
        <w:spacing w:before="100" w:beforeAutospacing="1" w:after="24" w:line="240" w:lineRule="auto"/>
        <w:ind w:left="1872"/>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lastRenderedPageBreak/>
        <w:t>Código de Justicia Militar</w:t>
      </w:r>
    </w:p>
    <w:p w:rsidR="00834B41" w:rsidRPr="00834B41" w:rsidRDefault="00834B41" w:rsidP="0033164A">
      <w:pPr>
        <w:numPr>
          <w:ilvl w:val="0"/>
          <w:numId w:val="7"/>
        </w:numPr>
        <w:shd w:val="clear" w:color="auto" w:fill="FFFFFF"/>
        <w:spacing w:before="100" w:beforeAutospacing="1" w:after="24" w:line="240" w:lineRule="auto"/>
        <w:ind w:left="1872"/>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Servicio Exterior</w:t>
      </w:r>
    </w:p>
    <w:p w:rsidR="00834B41" w:rsidRPr="00834B41" w:rsidRDefault="00834B41" w:rsidP="0033164A">
      <w:pPr>
        <w:numPr>
          <w:ilvl w:val="0"/>
          <w:numId w:val="7"/>
        </w:numPr>
        <w:shd w:val="clear" w:color="auto" w:fill="FFFFFF"/>
        <w:spacing w:before="100" w:beforeAutospacing="1" w:after="24" w:line="240" w:lineRule="auto"/>
        <w:ind w:left="1872"/>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Inteligencia Estratégica</w:t>
      </w:r>
    </w:p>
    <w:p w:rsidR="00834B41" w:rsidRPr="00834B41" w:rsidRDefault="00834B41" w:rsidP="0033164A">
      <w:pPr>
        <w:numPr>
          <w:ilvl w:val="0"/>
          <w:numId w:val="7"/>
        </w:numPr>
        <w:shd w:val="clear" w:color="auto" w:fill="FFFFFF"/>
        <w:spacing w:before="100" w:beforeAutospacing="1" w:after="24" w:line="240" w:lineRule="auto"/>
        <w:ind w:left="1872"/>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Acción Psicológica</w:t>
      </w:r>
    </w:p>
    <w:p w:rsidR="00834B41" w:rsidRPr="00834B41" w:rsidRDefault="00834B41" w:rsidP="0033164A">
      <w:pPr>
        <w:numPr>
          <w:ilvl w:val="0"/>
          <w:numId w:val="7"/>
        </w:numPr>
        <w:shd w:val="clear" w:color="auto" w:fill="FFFFFF"/>
        <w:spacing w:before="100" w:beforeAutospacing="1" w:after="24" w:line="240" w:lineRule="auto"/>
        <w:ind w:left="1872"/>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Doctrina Conjunta</w:t>
      </w:r>
    </w:p>
    <w:p w:rsidR="00834B41" w:rsidRPr="00834B41" w:rsidRDefault="00834B41" w:rsidP="0033164A">
      <w:pPr>
        <w:numPr>
          <w:ilvl w:val="0"/>
          <w:numId w:val="7"/>
        </w:numPr>
        <w:shd w:val="clear" w:color="auto" w:fill="FFFFFF"/>
        <w:spacing w:before="100" w:beforeAutospacing="1" w:after="24" w:line="240" w:lineRule="auto"/>
        <w:ind w:left="1872"/>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Debilidades de las FF.AA. en el conflicto</w:t>
      </w:r>
    </w:p>
    <w:p w:rsidR="00834B41" w:rsidRPr="00834B41" w:rsidRDefault="00834B41" w:rsidP="0033164A">
      <w:pPr>
        <w:shd w:val="clear" w:color="auto" w:fill="FFFFFF"/>
        <w:spacing w:before="120" w:after="120" w:line="240" w:lineRule="auto"/>
        <w:ind w:left="1920"/>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Por último se redacta el acta de constancia de finalización de la comisión, donde se nombran los destinatarios de los diez ejemplares firmados del informe, estos son, la Junta Militar, los Comandantes en Jefe de las tres ramas de las Fuerzas Armadas y un ejemplar para cada uno de los seis miembros de la comisión.</w:t>
      </w:r>
    </w:p>
    <w:p w:rsidR="00834B41" w:rsidRPr="00834B41" w:rsidRDefault="00834B41" w:rsidP="0033164A">
      <w:pPr>
        <w:shd w:val="clear" w:color="auto" w:fill="FFFFFF"/>
        <w:spacing w:before="120" w:after="120" w:line="240" w:lineRule="auto"/>
        <w:ind w:left="1920"/>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Su texto claramente hace responsables de la derrota a los niveles superiores de la guerra pero destaca:</w:t>
      </w:r>
    </w:p>
    <w:p w:rsidR="00834B41" w:rsidRPr="00834B41" w:rsidRDefault="00834B41" w:rsidP="0033164A">
      <w:pPr>
        <w:numPr>
          <w:ilvl w:val="0"/>
          <w:numId w:val="8"/>
        </w:numPr>
        <w:shd w:val="clear" w:color="auto" w:fill="FFFFFF"/>
        <w:spacing w:before="100" w:beforeAutospacing="1" w:after="24" w:line="240" w:lineRule="auto"/>
        <w:ind w:left="2304"/>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Apartado 882:</w:t>
      </w:r>
    </w:p>
    <w:p w:rsidR="00834B41" w:rsidRPr="00834B41" w:rsidRDefault="00834B41" w:rsidP="0033164A">
      <w:pPr>
        <w:shd w:val="clear" w:color="auto" w:fill="FFFFFF"/>
        <w:spacing w:after="24" w:line="240" w:lineRule="auto"/>
        <w:ind w:left="2304"/>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"Existen numerosos actos de valor extraordinario, producidos en todas las FF.AA (Fuerzas Armadas) y FF.SS (Fuerzas de Seguridad) en el teatro de operaciones, por quienes, sirviendo a su deber, acreditaron la vigencia de nuestras mejores tradiciones castrenses."</w:t>
      </w:r>
    </w:p>
    <w:p w:rsidR="00834B41" w:rsidRPr="00834B41" w:rsidRDefault="00834B41" w:rsidP="0033164A">
      <w:pPr>
        <w:numPr>
          <w:ilvl w:val="0"/>
          <w:numId w:val="9"/>
        </w:numPr>
        <w:shd w:val="clear" w:color="auto" w:fill="FFFFFF"/>
        <w:spacing w:before="100" w:beforeAutospacing="1" w:after="24" w:line="240" w:lineRule="auto"/>
        <w:ind w:left="2304"/>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Apartado 883:</w:t>
      </w:r>
    </w:p>
    <w:p w:rsidR="00834B41" w:rsidRPr="00834B41" w:rsidRDefault="00834B41" w:rsidP="0033164A">
      <w:pPr>
        <w:shd w:val="clear" w:color="auto" w:fill="FFFFFF"/>
        <w:spacing w:after="24" w:line="240" w:lineRule="auto"/>
        <w:ind w:left="2304"/>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"Debemos estar orgullosos por la hidalguía con la que procedieron las armas de la Patria, las que, en momento alguno, infringieron las normas de la guerra incurriendo en acciones reñidas con la ética de las tropas en lucha, tales como atacar, a las tropas, naves y aeronaves afectadas a las tareas de salvamento."</w:t>
      </w:r>
    </w:p>
    <w:p w:rsidR="00834B41" w:rsidRPr="00834B41" w:rsidRDefault="00834B41" w:rsidP="0033164A">
      <w:pPr>
        <w:numPr>
          <w:ilvl w:val="0"/>
          <w:numId w:val="10"/>
        </w:numPr>
        <w:shd w:val="clear" w:color="auto" w:fill="FFFFFF"/>
        <w:spacing w:before="100" w:beforeAutospacing="1" w:after="24" w:line="240" w:lineRule="auto"/>
        <w:ind w:left="2304"/>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Apartado 884:</w:t>
      </w:r>
    </w:p>
    <w:p w:rsidR="00834B41" w:rsidRPr="0033164A" w:rsidRDefault="00834B41" w:rsidP="0033164A">
      <w:pPr>
        <w:shd w:val="clear" w:color="auto" w:fill="FFFFFF"/>
        <w:spacing w:after="24" w:line="240" w:lineRule="auto"/>
        <w:ind w:left="2304"/>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"Más allá del resultado del conflicto bélico, nuestras FF.AA pueden estar satisfechas de su actuación durante la contienda, ya que enfrentaron a una potencia mundial de primera magnitud, apoyada política y logísticamente por los EEUU."</w:t>
      </w:r>
    </w:p>
    <w:p w:rsidR="006E6F1E" w:rsidRPr="0033164A" w:rsidRDefault="006E6F1E" w:rsidP="0033164A">
      <w:pPr>
        <w:shd w:val="clear" w:color="auto" w:fill="FFFFFF"/>
        <w:spacing w:after="24" w:line="240" w:lineRule="auto"/>
        <w:ind w:left="2304"/>
        <w:jc w:val="both"/>
        <w:rPr>
          <w:rFonts w:eastAsia="Times New Roman" w:cstheme="minorHAnsi"/>
          <w:color w:val="222222"/>
          <w:sz w:val="24"/>
          <w:szCs w:val="24"/>
          <w:lang w:eastAsia="es-ES"/>
        </w:rPr>
      </w:pPr>
    </w:p>
    <w:p w:rsidR="006E6F1E" w:rsidRPr="00834B41" w:rsidRDefault="006E6F1E" w:rsidP="0033164A">
      <w:pPr>
        <w:shd w:val="clear" w:color="auto" w:fill="FFFFFF"/>
        <w:spacing w:after="24" w:line="240" w:lineRule="auto"/>
        <w:ind w:left="2304"/>
        <w:jc w:val="both"/>
        <w:rPr>
          <w:rFonts w:eastAsia="Times New Roman" w:cstheme="minorHAnsi"/>
          <w:color w:val="222222"/>
          <w:sz w:val="24"/>
          <w:szCs w:val="24"/>
          <w:lang w:eastAsia="es-ES"/>
        </w:rPr>
      </w:pPr>
    </w:p>
    <w:p w:rsidR="00834B41" w:rsidRPr="00834B41" w:rsidRDefault="00834B41" w:rsidP="0033164A">
      <w:pPr>
        <w:shd w:val="clear" w:color="auto" w:fill="FFFFFF"/>
        <w:spacing w:before="120" w:after="120" w:line="240" w:lineRule="auto"/>
        <w:ind w:firstLine="851"/>
        <w:jc w:val="both"/>
        <w:rPr>
          <w:rFonts w:eastAsia="Times New Roman" w:cstheme="minorHAnsi"/>
          <w:color w:val="222222"/>
          <w:sz w:val="24"/>
          <w:szCs w:val="24"/>
          <w:lang w:eastAsia="es-ES"/>
        </w:rPr>
      </w:pPr>
      <w:r w:rsidRPr="00834B41">
        <w:rPr>
          <w:rFonts w:eastAsia="Times New Roman" w:cstheme="minorHAnsi"/>
          <w:color w:val="222222"/>
          <w:sz w:val="24"/>
          <w:szCs w:val="24"/>
          <w:lang w:eastAsia="es-ES"/>
        </w:rPr>
        <w:t>El informe recomendó penas graves para los responsables de lo que calificó como una "aventura militar" (que implicaban la pena máxima para algunos de ellos), pero su influencia sobre el juicio posterior fue prácticamente nula. Sin embargo, desde el punto de vista político e histórico, el informe sepultó definitivamente cualquier intento de los dirigentes militares y políticos de la época por encubrir o relativizar sus responsabilidades.</w:t>
      </w:r>
    </w:p>
    <w:p w:rsidR="00834B41" w:rsidRPr="0033164A" w:rsidRDefault="00834B41" w:rsidP="00FF5DE2">
      <w:pPr>
        <w:shd w:val="clear" w:color="auto" w:fill="FFFFFF"/>
        <w:spacing w:before="100" w:beforeAutospacing="1" w:after="24" w:line="240" w:lineRule="auto"/>
        <w:ind w:left="2411"/>
        <w:rPr>
          <w:rFonts w:cstheme="minorHAnsi"/>
          <w:sz w:val="24"/>
          <w:szCs w:val="24"/>
          <w:u w:val="single"/>
        </w:rPr>
      </w:pPr>
    </w:p>
    <w:sectPr w:rsidR="00834B41" w:rsidRPr="0033164A" w:rsidSect="0033164A">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7F7"/>
    <w:multiLevelType w:val="multilevel"/>
    <w:tmpl w:val="842C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A03E5"/>
    <w:multiLevelType w:val="multilevel"/>
    <w:tmpl w:val="2D00E2F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2">
    <w:nsid w:val="12D94314"/>
    <w:multiLevelType w:val="multilevel"/>
    <w:tmpl w:val="8DB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B11421"/>
    <w:multiLevelType w:val="multilevel"/>
    <w:tmpl w:val="DA98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4F5B98"/>
    <w:multiLevelType w:val="multilevel"/>
    <w:tmpl w:val="1BB6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904AF3"/>
    <w:multiLevelType w:val="hybridMultilevel"/>
    <w:tmpl w:val="34B2E0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6654BF"/>
    <w:multiLevelType w:val="multilevel"/>
    <w:tmpl w:val="CE02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352F5D"/>
    <w:multiLevelType w:val="multilevel"/>
    <w:tmpl w:val="6CB2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0F4619"/>
    <w:multiLevelType w:val="multilevel"/>
    <w:tmpl w:val="DBD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BA4570"/>
    <w:multiLevelType w:val="multilevel"/>
    <w:tmpl w:val="4C56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567C32"/>
    <w:multiLevelType w:val="multilevel"/>
    <w:tmpl w:val="B0041C42"/>
    <w:lvl w:ilvl="0">
      <w:start w:val="1"/>
      <w:numFmt w:val="decimal"/>
      <w:lvlText w:val="%1."/>
      <w:lvlJc w:val="left"/>
      <w:pPr>
        <w:tabs>
          <w:tab w:val="num" w:pos="720"/>
        </w:tabs>
        <w:ind w:left="720" w:hanging="360"/>
      </w:pPr>
    </w:lvl>
    <w:lvl w:ilvl="1">
      <w:start w:val="1"/>
      <w:numFmt w:val="decimal"/>
      <w:lvlText w:val="%2."/>
      <w:lvlJc w:val="left"/>
      <w:pPr>
        <w:tabs>
          <w:tab w:val="num" w:pos="2771"/>
        </w:tabs>
        <w:ind w:left="277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8E3F02"/>
    <w:multiLevelType w:val="multilevel"/>
    <w:tmpl w:val="D9342AF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abstractNum w:abstractNumId="12">
    <w:nsid w:val="772D5C82"/>
    <w:multiLevelType w:val="multilevel"/>
    <w:tmpl w:val="81A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7"/>
  </w:num>
  <w:num w:numId="5">
    <w:abstractNumId w:val="1"/>
  </w:num>
  <w:num w:numId="6">
    <w:abstractNumId w:val="11"/>
  </w:num>
  <w:num w:numId="7">
    <w:abstractNumId w:val="0"/>
  </w:num>
  <w:num w:numId="8">
    <w:abstractNumId w:val="4"/>
  </w:num>
  <w:num w:numId="9">
    <w:abstractNumId w:val="8"/>
  </w:num>
  <w:num w:numId="10">
    <w:abstractNumId w:val="9"/>
  </w:num>
  <w:num w:numId="11">
    <w:abstractNumId w:val="10"/>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7A6FE8"/>
    <w:rsid w:val="00131F17"/>
    <w:rsid w:val="001717F1"/>
    <w:rsid w:val="00185887"/>
    <w:rsid w:val="00211709"/>
    <w:rsid w:val="00263B6A"/>
    <w:rsid w:val="00302F36"/>
    <w:rsid w:val="0033164A"/>
    <w:rsid w:val="00341517"/>
    <w:rsid w:val="0046243F"/>
    <w:rsid w:val="004B2DAE"/>
    <w:rsid w:val="00555076"/>
    <w:rsid w:val="006E6F1E"/>
    <w:rsid w:val="007A6FE8"/>
    <w:rsid w:val="00834B41"/>
    <w:rsid w:val="00A25693"/>
    <w:rsid w:val="00A37657"/>
    <w:rsid w:val="00C34BEF"/>
    <w:rsid w:val="00DA68A5"/>
    <w:rsid w:val="00FF5D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6A"/>
  </w:style>
  <w:style w:type="paragraph" w:styleId="Ttulo2">
    <w:name w:val="heading 2"/>
    <w:basedOn w:val="Normal"/>
    <w:link w:val="Ttulo2Car"/>
    <w:uiPriority w:val="9"/>
    <w:qFormat/>
    <w:rsid w:val="00834B4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4B4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34B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34B41"/>
  </w:style>
  <w:style w:type="character" w:styleId="Hipervnculo">
    <w:name w:val="Hyperlink"/>
    <w:basedOn w:val="Fuentedeprrafopredeter"/>
    <w:uiPriority w:val="99"/>
    <w:semiHidden/>
    <w:unhideWhenUsed/>
    <w:rsid w:val="00834B41"/>
    <w:rPr>
      <w:color w:val="0000FF"/>
      <w:u w:val="single"/>
    </w:rPr>
  </w:style>
  <w:style w:type="character" w:customStyle="1" w:styleId="mw-headline">
    <w:name w:val="mw-headline"/>
    <w:basedOn w:val="Fuentedeprrafopredeter"/>
    <w:rsid w:val="00834B41"/>
  </w:style>
  <w:style w:type="character" w:customStyle="1" w:styleId="mw-editsection">
    <w:name w:val="mw-editsection"/>
    <w:basedOn w:val="Fuentedeprrafopredeter"/>
    <w:rsid w:val="00834B41"/>
  </w:style>
  <w:style w:type="character" w:customStyle="1" w:styleId="mw-editsection-bracket">
    <w:name w:val="mw-editsection-bracket"/>
    <w:basedOn w:val="Fuentedeprrafopredeter"/>
    <w:rsid w:val="00834B41"/>
  </w:style>
  <w:style w:type="character" w:customStyle="1" w:styleId="mw-cite-backlink">
    <w:name w:val="mw-cite-backlink"/>
    <w:basedOn w:val="Fuentedeprrafopredeter"/>
    <w:rsid w:val="00834B41"/>
  </w:style>
  <w:style w:type="character" w:customStyle="1" w:styleId="cite-accessibility-label">
    <w:name w:val="cite-accessibility-label"/>
    <w:basedOn w:val="Fuentedeprrafopredeter"/>
    <w:rsid w:val="00834B41"/>
  </w:style>
  <w:style w:type="character" w:customStyle="1" w:styleId="reference-text">
    <w:name w:val="reference-text"/>
    <w:basedOn w:val="Fuentedeprrafopredeter"/>
    <w:rsid w:val="00834B41"/>
  </w:style>
  <w:style w:type="paragraph" w:styleId="Textodeglobo">
    <w:name w:val="Balloon Text"/>
    <w:basedOn w:val="Normal"/>
    <w:link w:val="TextodegloboCar"/>
    <w:uiPriority w:val="99"/>
    <w:semiHidden/>
    <w:unhideWhenUsed/>
    <w:rsid w:val="00834B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B41"/>
    <w:rPr>
      <w:rFonts w:ascii="Tahoma" w:hAnsi="Tahoma" w:cs="Tahoma"/>
      <w:sz w:val="16"/>
      <w:szCs w:val="16"/>
    </w:rPr>
  </w:style>
  <w:style w:type="paragraph" w:styleId="Prrafodelista">
    <w:name w:val="List Paragraph"/>
    <w:basedOn w:val="Normal"/>
    <w:uiPriority w:val="34"/>
    <w:qFormat/>
    <w:rsid w:val="0033164A"/>
    <w:pPr>
      <w:ind w:left="720"/>
      <w:contextualSpacing/>
    </w:pPr>
  </w:style>
</w:styles>
</file>

<file path=word/webSettings.xml><?xml version="1.0" encoding="utf-8"?>
<w:webSettings xmlns:r="http://schemas.openxmlformats.org/officeDocument/2006/relationships" xmlns:w="http://schemas.openxmlformats.org/wordprocessingml/2006/main">
  <w:divs>
    <w:div w:id="1019428299">
      <w:bodyDiv w:val="1"/>
      <w:marLeft w:val="0"/>
      <w:marRight w:val="0"/>
      <w:marTop w:val="0"/>
      <w:marBottom w:val="0"/>
      <w:divBdr>
        <w:top w:val="none" w:sz="0" w:space="0" w:color="auto"/>
        <w:left w:val="none" w:sz="0" w:space="0" w:color="auto"/>
        <w:bottom w:val="none" w:sz="0" w:space="0" w:color="auto"/>
        <w:right w:val="none" w:sz="0" w:space="0" w:color="auto"/>
      </w:divBdr>
      <w:divsChild>
        <w:div w:id="613168554">
          <w:blockQuote w:val="1"/>
          <w:marLeft w:val="960"/>
          <w:marRight w:val="960"/>
          <w:marTop w:val="240"/>
          <w:marBottom w:val="240"/>
          <w:divBdr>
            <w:top w:val="none" w:sz="0" w:space="0" w:color="auto"/>
            <w:left w:val="none" w:sz="0" w:space="0" w:color="auto"/>
            <w:bottom w:val="none" w:sz="0" w:space="0" w:color="auto"/>
            <w:right w:val="none" w:sz="0" w:space="0" w:color="auto"/>
          </w:divBdr>
        </w:div>
        <w:div w:id="1551913965">
          <w:blockQuote w:val="1"/>
          <w:marLeft w:val="960"/>
          <w:marRight w:val="960"/>
          <w:marTop w:val="240"/>
          <w:marBottom w:val="240"/>
          <w:divBdr>
            <w:top w:val="none" w:sz="0" w:space="0" w:color="auto"/>
            <w:left w:val="none" w:sz="0" w:space="0" w:color="auto"/>
            <w:bottom w:val="none" w:sz="0" w:space="0" w:color="auto"/>
            <w:right w:val="none" w:sz="0" w:space="0" w:color="auto"/>
          </w:divBdr>
        </w:div>
        <w:div w:id="117384108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cp:lastModifiedBy>
  <cp:revision>2</cp:revision>
  <dcterms:created xsi:type="dcterms:W3CDTF">2017-04-01T17:10:00Z</dcterms:created>
  <dcterms:modified xsi:type="dcterms:W3CDTF">2017-04-01T17:10:00Z</dcterms:modified>
</cp:coreProperties>
</file>